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9BFA6" w14:textId="77777777" w:rsidR="00664A46" w:rsidRPr="0081687C" w:rsidRDefault="00664A46" w:rsidP="0081687C">
      <w:pPr>
        <w:spacing w:after="0" w:line="276" w:lineRule="auto"/>
        <w:ind w:left="5528" w:firstLine="1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БЕКИТЕМ</w:t>
      </w:r>
    </w:p>
    <w:p w14:paraId="2DDA028C" w14:textId="77777777" w:rsidR="00664A46" w:rsidRPr="0081687C" w:rsidRDefault="00664A46" w:rsidP="0081687C">
      <w:pPr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Республикасынын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FA07407" w14:textId="77777777" w:rsidR="00664A46" w:rsidRPr="0081687C" w:rsidRDefault="00664A46" w:rsidP="0081687C">
      <w:pPr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Саламаттык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сактоо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министрлигинин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алдындагы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Дары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каражаттары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жана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медициналык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буюмдар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департаментинин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98FE8BD" w14:textId="77777777" w:rsidR="00664A46" w:rsidRPr="0081687C" w:rsidRDefault="00664A46" w:rsidP="0081687C">
      <w:pPr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директорунун орун басары </w:t>
      </w:r>
    </w:p>
    <w:p w14:paraId="20D8A678" w14:textId="77777777" w:rsidR="00664A46" w:rsidRPr="0081687C" w:rsidRDefault="00664A46" w:rsidP="0081687C">
      <w:pPr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Абдиев</w:t>
      </w:r>
      <w:proofErr w:type="spellEnd"/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М.К.___________________</w:t>
      </w:r>
    </w:p>
    <w:p w14:paraId="5D09E410" w14:textId="549630BD" w:rsidR="0027772C" w:rsidRPr="0081687C" w:rsidRDefault="00664A46" w:rsidP="0081687C">
      <w:pPr>
        <w:spacing w:after="0" w:line="276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«___»_________________________2023-ж.</w:t>
      </w:r>
    </w:p>
    <w:p w14:paraId="7A7641BA" w14:textId="77777777" w:rsidR="0027772C" w:rsidRPr="0081687C" w:rsidRDefault="0027772C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986F0D6" w14:textId="77777777" w:rsidR="00664A46" w:rsidRPr="0081687C" w:rsidRDefault="00664A46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1C53702" w14:textId="3276FAF9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ДАРЫ КАРАЖАТЫН МЕДИЦИНАДА КОЛДОНУУ БОЮНЧА </w:t>
      </w:r>
    </w:p>
    <w:p w14:paraId="15DC179A" w14:textId="77777777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НУСКАМА</w:t>
      </w:r>
    </w:p>
    <w:p w14:paraId="37823A8C" w14:textId="77777777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A0CF144" w14:textId="77777777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D908076" w14:textId="77777777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ИНГАМИСТ</w:t>
      </w:r>
    </w:p>
    <w:p w14:paraId="2B9D2900" w14:textId="77777777" w:rsidR="00E87D08" w:rsidRPr="0081687C" w:rsidRDefault="00E87D08" w:rsidP="008168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(INGAMIST)</w:t>
      </w:r>
    </w:p>
    <w:p w14:paraId="473AC1D6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42B0A9B" w14:textId="77777777" w:rsidR="00F337E2" w:rsidRPr="0081687C" w:rsidRDefault="00F337E2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242AA4E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8C75EA" w14:textId="77777777" w:rsidR="004A43B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Cоодадагы аталышы</w:t>
      </w:r>
    </w:p>
    <w:p w14:paraId="619443FC" w14:textId="6DD5CDA4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Ингамист</w:t>
      </w:r>
    </w:p>
    <w:p w14:paraId="1000FA50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08F786D" w14:textId="77777777" w:rsidR="004A43B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Эл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аралык патенттелбеген аталышы</w:t>
      </w:r>
    </w:p>
    <w:p w14:paraId="6B0BAB43" w14:textId="502501FD" w:rsidR="00E87D08" w:rsidRPr="0081687C" w:rsidRDefault="002A40C9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Ацетилц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истеин</w:t>
      </w:r>
    </w:p>
    <w:p w14:paraId="39B615FD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9764D13" w14:textId="77777777" w:rsidR="004A43B8" w:rsidRPr="0081687C" w:rsidRDefault="00151CEF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Курамы</w:t>
      </w:r>
    </w:p>
    <w:p w14:paraId="22C34F6F" w14:textId="1F4C4242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1 мл эритме төмөнкүлөрдү камтыйт:</w:t>
      </w:r>
    </w:p>
    <w:p w14:paraId="6A779449" w14:textId="7FC0DA2B" w:rsidR="00E87D08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т</w:t>
      </w:r>
      <w:r w:rsidR="00E87D08" w:rsidRPr="0081687C">
        <w:rPr>
          <w:rFonts w:ascii="Times New Roman" w:hAnsi="Times New Roman" w:cs="Times New Roman"/>
          <w:i/>
          <w:sz w:val="24"/>
          <w:szCs w:val="24"/>
          <w:lang w:val="ky-KG"/>
        </w:rPr>
        <w:t>аасир берүүчү зат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: ацетилцистеин </w:t>
      </w:r>
      <w:r w:rsidR="002A40C9" w:rsidRPr="0081687C">
        <w:rPr>
          <w:rFonts w:ascii="Times New Roman" w:hAnsi="Times New Roman" w:cs="Times New Roman"/>
          <w:sz w:val="24"/>
          <w:szCs w:val="24"/>
          <w:lang w:val="ky-KG"/>
        </w:rPr>
        <w:t>100 мг;</w:t>
      </w:r>
    </w:p>
    <w:p w14:paraId="0880B22E" w14:textId="002B3950" w:rsidR="00E87D08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к</w:t>
      </w:r>
      <w:r w:rsidR="00E87D08" w:rsidRPr="0081687C">
        <w:rPr>
          <w:rFonts w:ascii="Times New Roman" w:hAnsi="Times New Roman" w:cs="Times New Roman"/>
          <w:i/>
          <w:sz w:val="24"/>
          <w:szCs w:val="24"/>
          <w:lang w:val="ky-KG"/>
        </w:rPr>
        <w:t>өмөкчү заттар: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динатрий</w:t>
      </w:r>
      <w:r w:rsidR="002A40C9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эдетаты, натрий гидроксиди, инъ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екция үчүн суу.</w:t>
      </w:r>
    </w:p>
    <w:p w14:paraId="4C403347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5FBF6D8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Дарынын түрү</w:t>
      </w:r>
    </w:p>
    <w:p w14:paraId="3E39A452" w14:textId="60BA46EE" w:rsidR="00E87D08" w:rsidRPr="0081687C" w:rsidRDefault="002A40C9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Инъ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екция үчүн эритме.</w:t>
      </w:r>
    </w:p>
    <w:p w14:paraId="4461AE30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2643D74" w14:textId="77777777" w:rsidR="00E87D08" w:rsidRPr="0081687C" w:rsidRDefault="00151CEF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Сүрөттөмөс</w:t>
      </w:r>
      <w:r w:rsidR="00E87D08" w:rsidRPr="0081687C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</w:p>
    <w:p w14:paraId="0A967910" w14:textId="68D1F511" w:rsidR="00E87D08" w:rsidRPr="0081687C" w:rsidRDefault="00F337E2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Бир аз күкүрт жыты менен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тунук</w:t>
      </w:r>
      <w:r w:rsidR="00664A46" w:rsidRPr="0081687C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түссүз суюктук.</w:t>
      </w:r>
    </w:p>
    <w:p w14:paraId="49AF2045" w14:textId="56C6CB1D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Ампуласы ачылгандан кийин аба менен узак байланышууда бир аз кызгылт-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сыя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кө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үш түс пайда болушу мүмкүн.</w:t>
      </w:r>
    </w:p>
    <w:p w14:paraId="5E75DF84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1E9AFBF" w14:textId="77777777" w:rsidR="008F482F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Фармадарылык тобу</w:t>
      </w:r>
      <w:r w:rsidR="008F482F" w:rsidRPr="00816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604B83B5" w14:textId="3372BF04" w:rsidR="004A43B8" w:rsidRPr="0081687C" w:rsidRDefault="00664A46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Респиратордук системалык ооруларды дарылоо үчүн препараттар. Жөтөлгө каршы препараттар жана суук тийген ооруларды дарылоо үчүн каражаттар. Жөтөлгө каршы каражаттар менен айкалыштан башка какыртуучу препараттар.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Муколитик</w:t>
      </w:r>
      <w:r w:rsidR="004A43B8" w:rsidRPr="0081687C">
        <w:rPr>
          <w:rFonts w:ascii="Times New Roman" w:hAnsi="Times New Roman" w:cs="Times New Roman"/>
          <w:sz w:val="24"/>
          <w:szCs w:val="24"/>
          <w:lang w:val="ky-KG"/>
        </w:rPr>
        <w:t>тер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4A43B8" w:rsidRPr="0081687C">
        <w:rPr>
          <w:rFonts w:ascii="Times New Roman" w:hAnsi="Times New Roman" w:cs="Times New Roman"/>
          <w:sz w:val="24"/>
          <w:szCs w:val="24"/>
          <w:lang w:val="ky-KG"/>
        </w:rPr>
        <w:t>Ацетилцистеин.</w:t>
      </w:r>
    </w:p>
    <w:p w14:paraId="4C08A7AC" w14:textId="6F175EAC" w:rsidR="00E87D08" w:rsidRDefault="004A43B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A21B0">
        <w:rPr>
          <w:rFonts w:ascii="Times New Roman" w:hAnsi="Times New Roman" w:cs="Times New Roman"/>
          <w:sz w:val="24"/>
          <w:szCs w:val="24"/>
          <w:lang w:val="ky-KG"/>
        </w:rPr>
        <w:lastRenderedPageBreak/>
        <w:t>АТХ коду</w:t>
      </w:r>
      <w:r w:rsidR="002A40C9" w:rsidRPr="009A21B0"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R05C</w:t>
      </w:r>
      <w:r w:rsidR="00F337E2" w:rsidRPr="0081687C">
        <w:rPr>
          <w:rFonts w:ascii="Times New Roman" w:hAnsi="Times New Roman" w:cs="Times New Roman"/>
          <w:sz w:val="24"/>
          <w:szCs w:val="24"/>
          <w:lang w:val="ky-KG"/>
        </w:rPr>
        <w:t>B01</w:t>
      </w:r>
    </w:p>
    <w:p w14:paraId="6E97D442" w14:textId="77777777" w:rsidR="0081687C" w:rsidRPr="0081687C" w:rsidRDefault="0081687C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674D06" w14:textId="77777777" w:rsidR="00E87D08" w:rsidRPr="0081687C" w:rsidRDefault="004A43B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Фармакологиялык касиеттери</w:t>
      </w:r>
    </w:p>
    <w:p w14:paraId="3E02B772" w14:textId="77777777" w:rsidR="00E87D08" w:rsidRPr="0081687C" w:rsidRDefault="004A43B8" w:rsidP="00816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Фармакодинамикасы</w:t>
      </w:r>
    </w:p>
    <w:p w14:paraId="65DE6209" w14:textId="77777777" w:rsidR="00E82CCD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 какырыкты суюлтат. Ацетилцистеин түзүмүндөгү сульфгидрилдик топтор какырыктын кычкыл мукополисахариддеринин дисульфиддик байланыштарын ажыратууга шарт түзөт, бул мукопротеиддердин деполяризацияланышына жана былжырдын илээшкектигинин азайышына алып келет. Ириңдүү какырык бар болгон учурда 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препараттын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активдүүлүгү сакталып калат.</w:t>
      </w:r>
    </w:p>
    <w:p w14:paraId="09446935" w14:textId="5416D8FD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 нуклеофилдүү тиолдуу SH-тобунун бар болушу менен шартталган антиоксиданттык таасир берет, суутекти жеңил өткөрүп берип, кычкылдантуучу радикалдарды нейтралдаштырат. </w:t>
      </w:r>
    </w:p>
    <w:p w14:paraId="4D154F76" w14:textId="77777777" w:rsidR="00E82CCD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Ацетилцистеиндин коргоочу механизми анын реактивдүү сульфгидриддик топторунун эркин радикалдарды байлаштыруу жөндөмдүүлүгүнө негизделген. </w:t>
      </w:r>
    </w:p>
    <w:p w14:paraId="7B3565C7" w14:textId="7896D278" w:rsidR="007666A3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 клетканын ичине жеңил кирет, L-цистеинге чейин деацителденет, андан клетканын ичиндеги глютатионго синтезделет.  </w:t>
      </w:r>
    </w:p>
    <w:p w14:paraId="2084D319" w14:textId="5EF1BEE6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Глютатион – жогорку реактивдүү трипептид, кубаттуу антиоксидант, эндогендүү жана экзогендүү эркин радикалдарды жана токсиндерди кармап калган цитопротектор. Ацетилцистеин клеткалардын кычкылдануу-калыбына келүү процесстерине катышкан клетканын ичиндеги глютатиондун арыктоосун токтотот жана синтезин жогорулатууга шарт түзүп, зыяндуу заттардын детоксикациясына өбөлгө берет. </w:t>
      </w:r>
    </w:p>
    <w:p w14:paraId="22A32C71" w14:textId="56662755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Фарма</w:t>
      </w:r>
      <w:r w:rsidR="007666A3"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ко</w:t>
      </w: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кин</w:t>
      </w:r>
      <w:r w:rsidR="004A43B8"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етикасы</w:t>
      </w:r>
    </w:p>
    <w:p w14:paraId="68ECB407" w14:textId="0B8F4844" w:rsidR="00E87D08" w:rsidRPr="0081687C" w:rsidRDefault="005E6D84" w:rsidP="0081687C">
      <w:pPr>
        <w:spacing w:after="0" w:line="276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600 мг ацетилцистеинди кан тамыр 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ич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ине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 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куюда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 кандын плазмасындагы </w:t>
      </w:r>
      <w:r w:rsidR="00E82CCD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эң 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жогорку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концентрациясы 300 ммоль/л түзөт, кандын плазмасынан жарым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-жартылай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бөлүп чыгаруу мезгили – 2 саат. Жалпы клиренси – 0,21 л/саат/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кг,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 плато 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учурунда б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өлүштүрүүнүн </w:t>
      </w:r>
      <w:r w:rsidR="00650521" w:rsidRPr="0081687C">
        <w:rPr>
          <w:rFonts w:ascii="Times New Roman" w:hAnsi="Times New Roman" w:cs="Times New Roman"/>
          <w:sz w:val="24"/>
          <w:szCs w:val="24"/>
          <w:lang w:val="ky-KG"/>
        </w:rPr>
        <w:t>көлөмү – 0,34 л/кг. Ацетилцисте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ин клеткаларды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н ортосундагы мейкиндикке өтөт, көбүнчө боорго, бөйрөктөргө, 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өпкөгө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, бронханын секретине 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бөлүнөт. Ацетилцистеин жана анын метаболиттери негизинен бөйрөктөр менен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бөлүнүп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чыгарылат.</w:t>
      </w:r>
    </w:p>
    <w:p w14:paraId="5BC36D99" w14:textId="77777777" w:rsidR="004A43B8" w:rsidRPr="0081687C" w:rsidRDefault="004A43B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350667D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Көрсөтмөлөр</w:t>
      </w:r>
    </w:p>
    <w:p w14:paraId="6E78B66E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Какырыктын көп пайда болушу менен коштолгон дем алуу органдарынын курч жана өнөкөт оорулары.</w:t>
      </w:r>
    </w:p>
    <w:p w14:paraId="27FB7EE4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63FBE14" w14:textId="7DAB7631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Каршы көрсөтмөлөр</w:t>
      </w:r>
    </w:p>
    <w:p w14:paraId="066BE986" w14:textId="12D410D4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Ацетилцистеинге же 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препараттын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башка курам бөлүктөр</w:t>
      </w:r>
      <w:r w:rsidR="00664A46" w:rsidRPr="0081687C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нө жогорку сезгичтик, ашказандын жана он эки эли ичегинин курчуп кетүү баскычындагы жара оорусу, кан түкүрүү, өпкөдөн кан агуу.</w:t>
      </w:r>
    </w:p>
    <w:p w14:paraId="28D8B543" w14:textId="1CAE93B9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022D378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Колдонуу жолу жана дозалары</w:t>
      </w:r>
    </w:p>
    <w:p w14:paraId="23176642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u w:val="single"/>
          <w:lang w:val="ky-KG"/>
        </w:rPr>
        <w:t>Жергиликтүү колдонуу</w:t>
      </w:r>
    </w:p>
    <w:p w14:paraId="53BAA647" w14:textId="19C654FC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Ингаляциялык куюу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чоңдорго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– суткасына 1-2 жолу 1 ампула дарыгердин дайындоосу боюнча 5-10 күн, </w:t>
      </w: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6 жаштан улуу балдарга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– суткасына 1-2 жолу 1 ампулага чейин дарыгердин дайындоосу боюнча 5-10 күн.</w:t>
      </w:r>
    </w:p>
    <w:p w14:paraId="3A89C364" w14:textId="2CEB610B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lastRenderedPageBreak/>
        <w:t>Эндобронхиалдуу куюу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чоңдорго жана 6 жаштан улуу балдарга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– суткасына 1-2 жолу 1 ампулага чейин.</w:t>
      </w:r>
    </w:p>
    <w:p w14:paraId="5219A5C0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u w:val="single"/>
          <w:lang w:val="ky-KG"/>
        </w:rPr>
        <w:t>Системалуу колдонуу</w:t>
      </w:r>
    </w:p>
    <w:p w14:paraId="25B04F76" w14:textId="41037CAD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Булчуңдун ичине куюу: чоңдорго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– суткасына 1-2 жолу 300 мг 1 ампуладан булчуңдун ичине терең киргизүү керек.</w:t>
      </w:r>
    </w:p>
    <w:p w14:paraId="2EA3B246" w14:textId="6C964A5D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 xml:space="preserve">Кан тамырдын ичине куюу: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дары каражатын натрий хлоридинин 0,9 % эритмеси же глюкозанын 5 % эритмеси менен жай тамчылатып </w:t>
      </w:r>
      <w:r w:rsidR="00664A46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куюу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керек.</w:t>
      </w:r>
    </w:p>
    <w:p w14:paraId="58FAFA13" w14:textId="2B7D6D92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Чоңдорго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– суткасына 1-2- жолу 300 мг 1 ампуладан.</w:t>
      </w:r>
    </w:p>
    <w:p w14:paraId="2F589228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3EBC78B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Балдар</w:t>
      </w:r>
    </w:p>
    <w:p w14:paraId="3753167C" w14:textId="7992CF71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Балдарга препаратты </w:t>
      </w: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кан тамырдын ичине жана булчуңдун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ичине куюу үчүн колдонууга болбойт.</w:t>
      </w:r>
    </w:p>
    <w:p w14:paraId="7065E583" w14:textId="202729ED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Жергиликтүү колдонуу үчүн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дары каражаты</w:t>
      </w:r>
      <w:r w:rsidR="00902294" w:rsidRPr="0081687C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6 жа</w:t>
      </w:r>
      <w:r w:rsidR="00902294" w:rsidRPr="0081687C">
        <w:rPr>
          <w:rFonts w:ascii="Times New Roman" w:hAnsi="Times New Roman" w:cs="Times New Roman"/>
          <w:sz w:val="24"/>
          <w:szCs w:val="24"/>
          <w:lang w:val="ky-KG"/>
        </w:rPr>
        <w:t>штан жогорку балдарга дайындоо керек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74EA6EA7" w14:textId="1D219A69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3C16302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Кыйыр таасирлери</w:t>
      </w:r>
    </w:p>
    <w:p w14:paraId="6D001924" w14:textId="4370FC1D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Каттоодон кийинки процессте төмөнкү келтирилге</w:t>
      </w:r>
      <w:r w:rsidR="008B3C7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н кыйыр натыйжалар белгиленген;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алардын  пайда болуу жыштыгы белгисиз (болгон маалыматтардын негизинде баалоо мүмкүн эмес):</w:t>
      </w:r>
    </w:p>
    <w:p w14:paraId="37D17CFB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Ингаляциялык колдонуу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0050B" w:rsidRPr="0081687C" w14:paraId="197C74C9" w14:textId="77777777" w:rsidTr="00FE06BF">
        <w:tc>
          <w:tcPr>
            <w:tcW w:w="4643" w:type="dxa"/>
          </w:tcPr>
          <w:p w14:paraId="7AB4693E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Системалык-органдык класс</w:t>
            </w:r>
          </w:p>
          <w:p w14:paraId="76367B56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43" w:type="dxa"/>
          </w:tcPr>
          <w:p w14:paraId="23269059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Кыйыр реакциялар</w:t>
            </w:r>
          </w:p>
        </w:tc>
      </w:tr>
      <w:tr w:rsidR="00D0050B" w:rsidRPr="0081687C" w14:paraId="58B27DA3" w14:textId="77777777" w:rsidTr="00FE06BF">
        <w:tc>
          <w:tcPr>
            <w:tcW w:w="4643" w:type="dxa"/>
          </w:tcPr>
          <w:p w14:paraId="5698FD50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Иммундук системасы тарабынан</w:t>
            </w:r>
          </w:p>
        </w:tc>
        <w:tc>
          <w:tcPr>
            <w:tcW w:w="4643" w:type="dxa"/>
          </w:tcPr>
          <w:p w14:paraId="463ACC0A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 сезгичтик реакциялары</w:t>
            </w:r>
          </w:p>
        </w:tc>
      </w:tr>
      <w:tr w:rsidR="00D0050B" w:rsidRPr="0081687C" w14:paraId="63A93510" w14:textId="77777777" w:rsidTr="00FE06BF">
        <w:tc>
          <w:tcPr>
            <w:tcW w:w="4643" w:type="dxa"/>
          </w:tcPr>
          <w:p w14:paraId="528AC688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 алуу системасы, кѳкүрѳк клетка органдары жана орто кѳңдѳй тарабынан</w:t>
            </w:r>
          </w:p>
        </w:tc>
        <w:tc>
          <w:tcPr>
            <w:tcW w:w="4643" w:type="dxa"/>
          </w:tcPr>
          <w:p w14:paraId="30EF33F6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Бронхаспазм, ринорея, бронхиалдык обструкция</w:t>
            </w:r>
          </w:p>
        </w:tc>
      </w:tr>
      <w:tr w:rsidR="00D0050B" w:rsidRPr="0081687C" w14:paraId="3065A1F9" w14:textId="77777777" w:rsidTr="00FE06BF">
        <w:tc>
          <w:tcPr>
            <w:tcW w:w="4643" w:type="dxa"/>
          </w:tcPr>
          <w:p w14:paraId="6D6598B3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Ашказан-ичеги жолдору тарабынан</w:t>
            </w:r>
          </w:p>
        </w:tc>
        <w:tc>
          <w:tcPr>
            <w:tcW w:w="4643" w:type="dxa"/>
          </w:tcPr>
          <w:p w14:paraId="6DA00ED3" w14:textId="5C193AFF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Оозул, кусуу, </w:t>
            </w:r>
            <w:r w:rsidR="00697C3A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жүрөк</w:t>
            </w: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айлануу</w:t>
            </w:r>
          </w:p>
        </w:tc>
      </w:tr>
      <w:tr w:rsidR="00D0050B" w:rsidRPr="0081687C" w14:paraId="411D52AC" w14:textId="77777777" w:rsidTr="00FE06BF">
        <w:tc>
          <w:tcPr>
            <w:tcW w:w="4643" w:type="dxa"/>
          </w:tcPr>
          <w:p w14:paraId="4603A7E5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Тери жана  тери алдындагы ткандар тарабынан</w:t>
            </w:r>
          </w:p>
        </w:tc>
        <w:tc>
          <w:tcPr>
            <w:tcW w:w="4643" w:type="dxa"/>
          </w:tcPr>
          <w:p w14:paraId="154CDF40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Бөрү жатыш, бѳртмѳ, кычышуу</w:t>
            </w:r>
          </w:p>
        </w:tc>
      </w:tr>
    </w:tbl>
    <w:p w14:paraId="1CF961B6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62632B3" w14:textId="77777777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Парентералдык колдонуу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0050B" w:rsidRPr="0081687C" w14:paraId="2BD2499B" w14:textId="77777777" w:rsidTr="00FE06BF">
        <w:tc>
          <w:tcPr>
            <w:tcW w:w="4643" w:type="dxa"/>
          </w:tcPr>
          <w:p w14:paraId="2273BD9E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Системалык-органдык класс</w:t>
            </w:r>
          </w:p>
          <w:p w14:paraId="4D3E1FE7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43" w:type="dxa"/>
          </w:tcPr>
          <w:p w14:paraId="635AC206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Кыйыр реакциялар</w:t>
            </w:r>
          </w:p>
        </w:tc>
      </w:tr>
      <w:tr w:rsidR="00D0050B" w:rsidRPr="0081687C" w14:paraId="2ABC6FE0" w14:textId="77777777" w:rsidTr="00FE06BF">
        <w:tc>
          <w:tcPr>
            <w:tcW w:w="4643" w:type="dxa"/>
          </w:tcPr>
          <w:p w14:paraId="3D5E8897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Иммундук системасы тарабынан</w:t>
            </w:r>
          </w:p>
        </w:tc>
        <w:tc>
          <w:tcPr>
            <w:tcW w:w="4643" w:type="dxa"/>
          </w:tcPr>
          <w:p w14:paraId="6EAAD50E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Анафилактикалык шок, анафилактикалык реакциялар, анафилактоиддик реакциялар, жогорку сезгичтик</w:t>
            </w:r>
          </w:p>
        </w:tc>
      </w:tr>
      <w:tr w:rsidR="00D0050B" w:rsidRPr="0081687C" w14:paraId="63F3E2DC" w14:textId="77777777" w:rsidTr="00FE06BF">
        <w:tc>
          <w:tcPr>
            <w:tcW w:w="4643" w:type="dxa"/>
          </w:tcPr>
          <w:p w14:paraId="1A1CAC89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Жүрөк тарабынан</w:t>
            </w:r>
          </w:p>
        </w:tc>
        <w:tc>
          <w:tcPr>
            <w:tcW w:w="4643" w:type="dxa"/>
          </w:tcPr>
          <w:p w14:paraId="5913B42C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Тахикардия</w:t>
            </w:r>
          </w:p>
        </w:tc>
      </w:tr>
      <w:tr w:rsidR="00D0050B" w:rsidRPr="0081687C" w14:paraId="27C4C401" w14:textId="77777777" w:rsidTr="00FE06BF">
        <w:tc>
          <w:tcPr>
            <w:tcW w:w="4643" w:type="dxa"/>
          </w:tcPr>
          <w:p w14:paraId="1E52FAD3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 алуу системасы, кѳкүрѳк клетка органдары жана орто кѳңдѳй тарабынан</w:t>
            </w:r>
          </w:p>
        </w:tc>
        <w:tc>
          <w:tcPr>
            <w:tcW w:w="4643" w:type="dxa"/>
          </w:tcPr>
          <w:p w14:paraId="706D2F84" w14:textId="029291E5" w:rsidR="00D0050B" w:rsidRPr="0081687C" w:rsidRDefault="00902294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D0050B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</w:t>
            </w:r>
            <w:r w:rsidR="000171FB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="00D0050B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хоспазм, диспное</w:t>
            </w:r>
          </w:p>
        </w:tc>
      </w:tr>
      <w:tr w:rsidR="00D0050B" w:rsidRPr="009A21B0" w14:paraId="4BA4C882" w14:textId="77777777" w:rsidTr="00FE06BF">
        <w:tc>
          <w:tcPr>
            <w:tcW w:w="4643" w:type="dxa"/>
          </w:tcPr>
          <w:p w14:paraId="42A02751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Ашказан-ичеги жолдору тарабынан</w:t>
            </w:r>
          </w:p>
        </w:tc>
        <w:tc>
          <w:tcPr>
            <w:tcW w:w="4643" w:type="dxa"/>
          </w:tcPr>
          <w:p w14:paraId="151116CF" w14:textId="735F8393" w:rsidR="00D0050B" w:rsidRPr="0081687C" w:rsidRDefault="00697C3A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Жүрөк айлануу,</w:t>
            </w:r>
            <w:r w:rsidR="00D0050B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кусуу</w:t>
            </w:r>
            <w:r w:rsidR="00D0050B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ич оору, ич өтүү, диспепсия, зарна</w:t>
            </w:r>
            <w:r w:rsidR="00902294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болуу</w:t>
            </w:r>
          </w:p>
        </w:tc>
      </w:tr>
      <w:tr w:rsidR="00D0050B" w:rsidRPr="009A21B0" w14:paraId="34F546C2" w14:textId="77777777" w:rsidTr="00FE06BF">
        <w:tc>
          <w:tcPr>
            <w:tcW w:w="4643" w:type="dxa"/>
          </w:tcPr>
          <w:p w14:paraId="0BACFDBE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Тери жана тери алдындагы ткандар тарабынан</w:t>
            </w:r>
          </w:p>
        </w:tc>
        <w:tc>
          <w:tcPr>
            <w:tcW w:w="4643" w:type="dxa"/>
          </w:tcPr>
          <w:p w14:paraId="068F25B0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Ангионевротикалык шишимик, бөрү жатыш, гиперемия, бѳртмѳ, кычышуу </w:t>
            </w:r>
          </w:p>
          <w:p w14:paraId="3CA5853D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0050B" w:rsidRPr="009A21B0" w14:paraId="1646431C" w14:textId="77777777" w:rsidTr="00FE06BF">
        <w:tc>
          <w:tcPr>
            <w:tcW w:w="4643" w:type="dxa"/>
          </w:tcPr>
          <w:p w14:paraId="40A852E6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Жалпы бузулуулар жана киргизилген жердеги бузулуулар</w:t>
            </w:r>
          </w:p>
        </w:tc>
        <w:tc>
          <w:tcPr>
            <w:tcW w:w="4643" w:type="dxa"/>
          </w:tcPr>
          <w:p w14:paraId="148113E7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Беттин шишимиги, баш оору, кулактын чуулдашы, геморрагия, гипертермия </w:t>
            </w:r>
          </w:p>
          <w:p w14:paraId="36E5504C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0050B" w:rsidRPr="009A21B0" w14:paraId="360EB5AA" w14:textId="77777777" w:rsidTr="00FE06BF">
        <w:tc>
          <w:tcPr>
            <w:tcW w:w="4643" w:type="dxa"/>
          </w:tcPr>
          <w:p w14:paraId="2089584C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Лаборатордук жана аспаптык маалыматтар</w:t>
            </w:r>
          </w:p>
          <w:p w14:paraId="500D2E41" w14:textId="77777777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43" w:type="dxa"/>
          </w:tcPr>
          <w:p w14:paraId="24B45ADE" w14:textId="3D73F8AA" w:rsidR="00D0050B" w:rsidRPr="0081687C" w:rsidRDefault="00D0050B" w:rsidP="008168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 басымдын тѳмѳндѳѳсү, аз кандуулук,</w:t>
            </w:r>
            <w:r w:rsidR="00902294"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</w:t>
            </w:r>
            <w:r w:rsidRPr="00816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тромбиндик убакыттын кѳбѳйүүсү</w:t>
            </w:r>
          </w:p>
        </w:tc>
      </w:tr>
    </w:tbl>
    <w:p w14:paraId="218616E4" w14:textId="77777777" w:rsidR="00A651B9" w:rsidRPr="0081687C" w:rsidRDefault="00A651B9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D5C0B61" w14:textId="5CAFB836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Сейрек учурларда ацетилцистеин колдонгондо оор тери реакциялары, Стивенс-Джонс</w:t>
      </w:r>
      <w:r w:rsidR="00902294" w:rsidRPr="0081687C">
        <w:rPr>
          <w:rFonts w:ascii="Times New Roman" w:hAnsi="Times New Roman" w:cs="Times New Roman"/>
          <w:sz w:val="24"/>
          <w:szCs w:val="24"/>
          <w:lang w:val="ky-KG"/>
        </w:rPr>
        <w:t>он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синдрому жана Лайелла синдрому сыяктуулар.</w:t>
      </w:r>
    </w:p>
    <w:p w14:paraId="7F2D7328" w14:textId="3028ECA4" w:rsidR="00D0050B" w:rsidRPr="0081687C" w:rsidRDefault="00902294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Кө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п учурларда</w:t>
      </w:r>
      <w:r w:rsidR="00A651B9" w:rsidRPr="0081687C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үстүнкү тери-былжыр синд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ромдору  дагы минимум бир дары каражатын чогу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колдонгондо пайда болот деп шектелген. Эгер тери-былжыр ѳзгѳрүүлѳрү байкалса дароо дарыгердин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кеңешин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алуу керек, жана ацетилцистеинди колдонууну токтотуу керек.</w:t>
      </w:r>
    </w:p>
    <w:p w14:paraId="0DA7CD88" w14:textId="5634F017" w:rsidR="00D0050B" w:rsidRPr="0081687C" w:rsidRDefault="0074289A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Тромбоцитт</w:t>
      </w:r>
      <w:r w:rsidR="00D0050B" w:rsidRPr="0081687C">
        <w:rPr>
          <w:rFonts w:ascii="Times New Roman" w:hAnsi="Times New Roman" w:cs="Times New Roman"/>
          <w:sz w:val="24"/>
          <w:szCs w:val="24"/>
          <w:lang w:val="ky-KG"/>
        </w:rPr>
        <w:t>ердин агрегациясынын тѳмѳндѳѳсү ацетилцистеинди колдонгон учурда кээ бир изилдѳѳлѳрдѳ тастыкталган. Азыркы учурда бул жыйынтыктардын клиникалык мааниси аныкталган эмес.</w:t>
      </w:r>
    </w:p>
    <w:p w14:paraId="2D2D73D4" w14:textId="47B26E8A" w:rsidR="00D0050B" w:rsidRPr="0081687C" w:rsidRDefault="00D0050B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B872ACD" w14:textId="4C7438E3" w:rsidR="00902294" w:rsidRPr="0081687C" w:rsidRDefault="00D32ADF" w:rsidP="0081687C">
      <w:pPr>
        <w:spacing w:after="0" w:line="276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val="ky-KG" w:eastAsia="ru-RU"/>
        </w:rPr>
      </w:pPr>
      <w:bookmarkStart w:id="0" w:name="_Hlk101964828"/>
      <w:r w:rsidRPr="0081687C">
        <w:rPr>
          <w:rFonts w:ascii="Times New Roman" w:eastAsia="Calibri" w:hAnsi="Times New Roman" w:cs="Times New Roman"/>
          <w:b/>
          <w:snapToGrid w:val="0"/>
          <w:sz w:val="24"/>
          <w:szCs w:val="24"/>
          <w:lang w:val="ky-KG" w:eastAsia="ru-RU"/>
        </w:rPr>
        <w:t xml:space="preserve">Шектелген жагымсыз реакциялар тууралуу маалымат </w:t>
      </w:r>
    </w:p>
    <w:p w14:paraId="5B81B30B" w14:textId="70EBA1AE" w:rsidR="00902294" w:rsidRPr="0081687C" w:rsidRDefault="00D32ADF" w:rsidP="0081687C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</w:pPr>
      <w:r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Дары препаратынын </w:t>
      </w:r>
      <w:r w:rsidR="003B21D4" w:rsidRPr="0081687C">
        <w:rPr>
          <w:rFonts w:ascii="Times New Roman" w:eastAsia="Calibri" w:hAnsi="Times New Roman" w:cs="Times New Roman"/>
          <w:sz w:val="24"/>
          <w:szCs w:val="24"/>
          <w:lang w:val="ky-KG" w:eastAsia="zh-CN" w:bidi="ru-RU"/>
        </w:rPr>
        <w:t xml:space="preserve">«пайда-кооптуулук» </w:t>
      </w:r>
      <w:r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катнашына үзгүлтүксүз мониторинг жүргүзүү үчүн дары препараты каттоодон өткөндөн кийин шектүү </w:t>
      </w:r>
      <w:r w:rsidR="00427563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жагымсыз</w:t>
      </w:r>
      <w:r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реакциялар жөнүндө билдирүү маанилүү.</w:t>
      </w:r>
      <w:r w:rsidR="00A651B9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</w:t>
      </w:r>
      <w:r w:rsidR="000171FB" w:rsidRPr="009A21B0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Медицина</w:t>
      </w:r>
      <w:r w:rsidR="000B1EDF" w:rsidRPr="009A21B0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</w:t>
      </w:r>
      <w:r w:rsidR="00427563" w:rsidRPr="009A21B0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кызматкерлери</w:t>
      </w:r>
      <w:r w:rsidR="000B1EDF" w:rsidRPr="009A21B0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н</w:t>
      </w:r>
      <w:r w:rsidR="000171FB" w:rsidRPr="009A21B0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е</w:t>
      </w:r>
      <w:r w:rsidR="00427563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Кыргыз Республикасынын жагымсыз реакциялар жөнүндө улуттук</w:t>
      </w:r>
      <w:r w:rsidR="000B1EDF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маалым</w:t>
      </w:r>
      <w:r w:rsidR="000171FB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доо</w:t>
      </w:r>
      <w:r w:rsidR="00427563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 системасы аркылуу </w:t>
      </w:r>
      <w:r w:rsidR="000B1EDF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ар кандай </w:t>
      </w:r>
      <w:r w:rsidR="00427563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>шектүү жагымсыз реакциялар жөнүндө билдирүү керектиги сунушталат</w:t>
      </w:r>
      <w:r w:rsidR="00902294" w:rsidRPr="0081687C">
        <w:rPr>
          <w:rFonts w:ascii="Times New Roman" w:eastAsia="Calibri" w:hAnsi="Times New Roman" w:cs="Times New Roman"/>
          <w:snapToGrid w:val="0"/>
          <w:sz w:val="24"/>
          <w:szCs w:val="24"/>
          <w:lang w:val="ky-KG" w:eastAsia="ru-RU"/>
        </w:rPr>
        <w:t xml:space="preserve">: </w:t>
      </w:r>
    </w:p>
    <w:p w14:paraId="1674757C" w14:textId="77777777" w:rsidR="00427563" w:rsidRPr="0081687C" w:rsidRDefault="00427563" w:rsidP="0081687C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7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Кыргыз Республикасынын Саламаттык сактоо министрлигинин алдындагы Дары каражаттары жана медициналык буюмдар департаменти</w:t>
      </w:r>
      <w:r w:rsidRPr="0081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13A83B" w14:textId="77777777" w:rsidR="00902294" w:rsidRPr="0081687C" w:rsidRDefault="00392531" w:rsidP="0081687C">
      <w:pPr>
        <w:spacing w:after="0" w:line="276" w:lineRule="auto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hyperlink r:id="rId10" w:history="1">
        <w:r w:rsidR="00902294" w:rsidRPr="0081687C">
          <w:rPr>
            <w:rFonts w:ascii="Times New Roman" w:eastAsia="Calibri" w:hAnsi="Times New Roman" w:cs="Times New Roman"/>
            <w:snapToGrid w:val="0"/>
            <w:sz w:val="24"/>
            <w:szCs w:val="24"/>
            <w:u w:val="single"/>
            <w:lang w:eastAsia="ru-RU"/>
          </w:rPr>
          <w:t>http://www.pharm.kg</w:t>
        </w:r>
      </w:hyperlink>
    </w:p>
    <w:p w14:paraId="1329C723" w14:textId="080AF2D3" w:rsidR="00902294" w:rsidRPr="0081687C" w:rsidRDefault="00427563" w:rsidP="0081687C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Мындан сырткары маалыматты </w:t>
      </w:r>
      <w:r w:rsidR="00902294"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электрон</w:t>
      </w:r>
      <w:r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дук дарек аркылуу жөнөтүүгө болот</w:t>
      </w:r>
      <w:r w:rsidR="00902294"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="00902294" w:rsidRPr="0081687C">
          <w:rPr>
            <w:rFonts w:ascii="Times New Roman" w:eastAsia="SimSu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asia.kppv@uf.ua</w:t>
        </w:r>
      </w:hyperlink>
      <w:r w:rsidRPr="0081687C">
        <w:rPr>
          <w:rFonts w:ascii="Times New Roman" w:eastAsia="SimSu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же төмөнкү телефон аркы</w:t>
      </w:r>
      <w:r w:rsidR="00A651B9"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л</w:t>
      </w:r>
      <w:r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уу кайрылса болот</w:t>
      </w:r>
      <w:r w:rsidR="00902294"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+996 550 740402.</w:t>
      </w:r>
      <w:r w:rsidRPr="0081687C">
        <w:rPr>
          <w:rFonts w:ascii="Times New Roman" w:eastAsia="SimSu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bookmarkEnd w:id="0"/>
    <w:p w14:paraId="234790B5" w14:textId="77777777" w:rsidR="00902294" w:rsidRPr="0081687C" w:rsidRDefault="00902294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3E69D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Башка дары каражаттары менен өз ара таасирлери жана өз ара таасирлердин башка түрлөрү</w:t>
      </w:r>
    </w:p>
    <w:p w14:paraId="0AD30F3F" w14:textId="2D947F7B" w:rsidR="00991674" w:rsidRPr="0081687C" w:rsidRDefault="00991674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Башка дары каражаттары  менен өз ара таасирлери боюнча изилдөөлө</w:t>
      </w:r>
      <w:r w:rsidR="00902294" w:rsidRPr="0081687C">
        <w:rPr>
          <w:rFonts w:ascii="Times New Roman" w:hAnsi="Times New Roman" w:cs="Times New Roman"/>
          <w:sz w:val="24"/>
          <w:szCs w:val="24"/>
          <w:lang w:val="ky-KG"/>
        </w:rPr>
        <w:t>р чоң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дорго гана жүргүзүлгөн. </w:t>
      </w:r>
    </w:p>
    <w:p w14:paraId="5DFCA12D" w14:textId="63F6A1E3" w:rsidR="00E73412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Ацетилцистеинди жана нитроглицеринди бир убакта колдонуу нитроглицериндин кан тамыр кеңейтүүчү таасирин күчөтүүгө</w:t>
      </w:r>
      <w:r w:rsidR="008F45E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F45E2" w:rsidRPr="009A21B0">
        <w:rPr>
          <w:rFonts w:ascii="Times New Roman" w:hAnsi="Times New Roman" w:cs="Times New Roman"/>
          <w:sz w:val="24"/>
          <w:szCs w:val="24"/>
          <w:lang w:val="ky-KG"/>
        </w:rPr>
        <w:t>жана</w:t>
      </w:r>
      <w:bookmarkStart w:id="1" w:name="_GoBack"/>
      <w:bookmarkEnd w:id="1"/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171FB" w:rsidRPr="0081687C">
        <w:rPr>
          <w:rFonts w:ascii="Times New Roman" w:hAnsi="Times New Roman" w:cs="Times New Roman"/>
          <w:sz w:val="24"/>
          <w:szCs w:val="24"/>
          <w:lang w:val="ky-KG"/>
        </w:rPr>
        <w:t>чыкый</w:t>
      </w:r>
      <w:r w:rsidR="000B1EDF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артери</w:t>
      </w:r>
      <w:r w:rsidR="000171FB" w:rsidRPr="0081687C">
        <w:rPr>
          <w:rFonts w:ascii="Times New Roman" w:hAnsi="Times New Roman" w:cs="Times New Roman"/>
          <w:sz w:val="24"/>
          <w:szCs w:val="24"/>
          <w:lang w:val="ky-KG"/>
        </w:rPr>
        <w:t>ясынын кеӊейишине алып келет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991674" w:rsidRPr="0081687C">
        <w:rPr>
          <w:rFonts w:ascii="Times New Roman" w:hAnsi="Times New Roman" w:cs="Times New Roman"/>
          <w:sz w:val="24"/>
          <w:szCs w:val="24"/>
          <w:lang w:val="ky-KG"/>
        </w:rPr>
        <w:t>Эгер нитроглицерин менен ацетилцистеинди  бир убакта колдонуу керек болсо, б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ейтаптар</w:t>
      </w:r>
      <w:r w:rsidR="00F337E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дарыгердин</w:t>
      </w:r>
      <w:r w:rsidR="0099167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көзөмөлүндө болуусу зарыл,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артериялык кан басымдын төмөндөшү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нө байланыштуу,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ал оор болушу мүмкүн. Бейтапты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баш оору пайда болушу мүмкүн экенин эскертүү зарыл.  </w:t>
      </w:r>
    </w:p>
    <w:p w14:paraId="3FC02B84" w14:textId="64FB49C1" w:rsidR="00E73412" w:rsidRPr="0081687C" w:rsidRDefault="00E73412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Ацетилцистеинди бир убакта жөтөлгө каршы каражаттар менен колдонууга болбойт, анткени жөтөл рефлексин басаңдатуу бронхиалдык секреттин токтолушун күчөтѳт. Ингамистти бир убакта жөнөкөй бронходилататорлар, вазоконстриктер  менен колдонууга болот.</w:t>
      </w:r>
    </w:p>
    <w:p w14:paraId="4A523D92" w14:textId="3794E423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lastRenderedPageBreak/>
        <w:t>Антибиоктитерди жана ацетилцистеинди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өз ара таасирлери боюнча маалымат бар </w:t>
      </w:r>
      <w:r w:rsidR="00E73412" w:rsidRPr="0081687C">
        <w:rPr>
          <w:rFonts w:ascii="Times New Roman" w:hAnsi="Times New Roman" w:cs="Times New Roman"/>
          <w:i/>
          <w:sz w:val="24"/>
          <w:szCs w:val="24"/>
          <w:lang w:val="ky-KG"/>
        </w:rPr>
        <w:t>in vitro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изилдөлөрдө жана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антибиотиктердин активдүүлүгү азайышы мүмкүн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экендигин далидейт</w:t>
      </w:r>
      <w:r w:rsidR="00280113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Ошондуктан 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>антибиотиктерди ацетилцистеин суюктугу менен кошууга болбойт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5010E2FA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 xml:space="preserve">Лабораториялык көрсөткүчтөр. </w:t>
      </w:r>
    </w:p>
    <w:p w14:paraId="32E081F7" w14:textId="7B4942F3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Ацетилцистеинди колдонуу колориметриялык </w:t>
      </w:r>
      <w:r w:rsidR="001E472A" w:rsidRPr="0081687C">
        <w:rPr>
          <w:rFonts w:ascii="Times New Roman" w:hAnsi="Times New Roman" w:cs="Times New Roman"/>
          <w:sz w:val="24"/>
          <w:szCs w:val="24"/>
          <w:lang w:val="ky-KG"/>
        </w:rPr>
        <w:t>ыкма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менен салицилаттардын санын аныктоонун жыйынтыктарын жана заарадагы кетондорду аныктоонун жыйынтыктарын өзгөртүшү мүмкүн.</w:t>
      </w:r>
    </w:p>
    <w:p w14:paraId="69E69ED8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F68B490" w14:textId="77777777" w:rsidR="00E64720" w:rsidRPr="0081687C" w:rsidRDefault="00E64720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Өзгөчө көрсөтмөлөр</w:t>
      </w:r>
    </w:p>
    <w:p w14:paraId="7EE3C7F5" w14:textId="7207F297" w:rsidR="00E87D08" w:rsidRPr="0081687C" w:rsidRDefault="00487B42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Бронхиалдык</w:t>
      </w:r>
      <w:r w:rsidR="00E64720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астмасы бар бейтаптар Ингамист менен дарыланган мезгилде дарыгердин көзөмөлүндө </w:t>
      </w:r>
      <w:r w:rsidR="001F1903" w:rsidRPr="0081687C">
        <w:rPr>
          <w:rFonts w:ascii="Times New Roman" w:hAnsi="Times New Roman" w:cs="Times New Roman"/>
          <w:sz w:val="24"/>
          <w:szCs w:val="24"/>
          <w:lang w:val="ky-KG"/>
        </w:rPr>
        <w:t>бол</w:t>
      </w:r>
      <w:r w:rsidR="00E64720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ушу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керек. Бронхоспазм пайда болгон учурда ацетилцистеин 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>колдонууну дароо токтоту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="00693DC4" w:rsidRPr="0081687C">
        <w:rPr>
          <w:rFonts w:ascii="Times New Roman" w:hAnsi="Times New Roman" w:cs="Times New Roman"/>
          <w:sz w:val="24"/>
          <w:szCs w:val="24"/>
          <w:lang w:val="ky-KG"/>
        </w:rPr>
        <w:t>тийиштүү дарылоо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ну</w:t>
      </w:r>
      <w:r w:rsidR="00693DC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баштоо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зарыл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037B056F" w14:textId="77777777" w:rsidR="00E87D08" w:rsidRPr="0081687C" w:rsidRDefault="00693DC4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Оору таржымалында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жара оорусу бар бейтаптар, өзгөчө ашказандын былжыр челин дүүлүктүргөн башка дары каражаттарын колдонгон учурда Ингамист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>ти этияттык менен колдонуу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су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абзел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218C1784" w14:textId="714ECC93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Ацетилцистеинди 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>өзгөчө аэрозол формасын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кабыл 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алуу</w:t>
      </w:r>
      <w:r w:rsidR="005E6D8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>өзгөчө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да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рылоонун башында бронх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бездеринин суюктугун суюлтуп жана көлөмүн көбөйтүшү мүмкүн.  Эгер бейтап какырыкты натыйжалуу чыгара албаса постуралдык дренаж жана бронхалардын ичи</w:t>
      </w:r>
      <w:r w:rsidR="00E73412" w:rsidRPr="0081687C">
        <w:rPr>
          <w:rFonts w:ascii="Times New Roman" w:hAnsi="Times New Roman" w:cs="Times New Roman"/>
          <w:sz w:val="24"/>
          <w:szCs w:val="24"/>
          <w:lang w:val="ky-KG"/>
        </w:rPr>
        <w:t>н аспирациялоону жүргүзүү керек, какыры</w:t>
      </w:r>
      <w:r w:rsidR="009620CA" w:rsidRPr="0081687C">
        <w:rPr>
          <w:rFonts w:ascii="Times New Roman" w:hAnsi="Times New Roman" w:cs="Times New Roman"/>
          <w:sz w:val="24"/>
          <w:szCs w:val="24"/>
          <w:lang w:val="ky-KG"/>
        </w:rPr>
        <w:t>ктын токтолушун алдын алуу үчүн.</w:t>
      </w:r>
    </w:p>
    <w:p w14:paraId="166EF288" w14:textId="6F6F5679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Дарыны кан тамырдын ичине дарыгердин көзөмөлү алдында гана киргизүү керек. Кан тамырдын ичине киргизүүдө кыйыр таасирлер дары каражаты өтө тез жана чоң дозада киргизилген учурда пайда болушу мүм</w:t>
      </w:r>
      <w:r w:rsidR="003B21D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күн. Ошондуктан </w:t>
      </w:r>
      <w:r w:rsidR="003B21D4" w:rsidRPr="0081687C">
        <w:rPr>
          <w:rFonts w:ascii="Times New Roman" w:eastAsia="Calibri" w:hAnsi="Times New Roman" w:cs="Times New Roman"/>
          <w:sz w:val="24"/>
          <w:szCs w:val="24"/>
          <w:lang w:val="ky-KG" w:eastAsia="zh-CN" w:bidi="ru-RU"/>
        </w:rPr>
        <w:t>«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>Колдонуу жолу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жана дозалар</w:t>
      </w:r>
      <w:r w:rsidR="000171FB" w:rsidRPr="0081687C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3B21D4" w:rsidRPr="0081687C">
        <w:rPr>
          <w:rFonts w:ascii="Times New Roman" w:eastAsia="Calibri" w:hAnsi="Times New Roman" w:cs="Times New Roman"/>
          <w:sz w:val="24"/>
          <w:szCs w:val="24"/>
          <w:lang w:val="ky-KG" w:eastAsia="zh-CN" w:bidi="ru-RU"/>
        </w:rPr>
        <w:t>»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бөлүмдөрүндө келтирилген көрсөтмөлөрдү так аткаруу керек. </w:t>
      </w:r>
    </w:p>
    <w:p w14:paraId="395AFB23" w14:textId="2EFDE686" w:rsidR="009620CA" w:rsidRPr="0081687C" w:rsidRDefault="009620CA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Ацетилцистеинди колдонуу дозасында, ууланууну дарылоодо, протромбиндик убакытты чоңойтот</w:t>
      </w:r>
      <w:r w:rsidR="00DF5EF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(протромбиндик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4546" w:rsidRPr="0081687C">
        <w:rPr>
          <w:rFonts w:ascii="Times New Roman" w:hAnsi="Times New Roman" w:cs="Times New Roman"/>
          <w:sz w:val="24"/>
          <w:szCs w:val="24"/>
          <w:lang w:val="ky-KG"/>
        </w:rPr>
        <w:t>индексти кичирейтип, ЭНМ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чоңойтот). Күкүрттүн жыты, Ингамисттин ампуласын ачканда чыгат, таасир берүүчү зат</w:t>
      </w:r>
      <w:r w:rsidR="005E6D84" w:rsidRPr="0081687C">
        <w:rPr>
          <w:rFonts w:ascii="Times New Roman" w:hAnsi="Times New Roman" w:cs="Times New Roman"/>
          <w:sz w:val="24"/>
          <w:szCs w:val="24"/>
          <w:lang w:val="ky-KG"/>
        </w:rPr>
        <w:t>тын жытына тийиштүү жана колдон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ууга таасир бербейт.</w:t>
      </w:r>
    </w:p>
    <w:p w14:paraId="72613C3D" w14:textId="5D816391" w:rsidR="009620CA" w:rsidRPr="0081687C" w:rsidRDefault="009620CA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Ацетилцистеин суюктугу ачык ампуласын сактоодо же аэрозолдук жабдууларга которгондо 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>сейрек учурда жеңил кызгылт көк</w:t>
      </w:r>
      <w:r w:rsidR="001C78A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түсүн  кабыл алат, препараттын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таасирине жана 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көтөрүмдүүлүгүнө таасир </w:t>
      </w:r>
      <w:r w:rsidR="005A43AC" w:rsidRPr="0081687C">
        <w:rPr>
          <w:rFonts w:ascii="Times New Roman" w:hAnsi="Times New Roman" w:cs="Times New Roman"/>
          <w:sz w:val="24"/>
          <w:szCs w:val="24"/>
          <w:lang w:val="ky-KG"/>
        </w:rPr>
        <w:t>бербейт</w:t>
      </w:r>
      <w:r w:rsidR="001C78AB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1750D7CA" w14:textId="66573EAD" w:rsidR="00E87D08" w:rsidRPr="0081687C" w:rsidRDefault="005A43AC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Бир дозадагы </w:t>
      </w:r>
      <w:r w:rsidR="00D31CE6" w:rsidRPr="0081687C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ир ампула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да</w:t>
      </w:r>
      <w:r w:rsidR="00D31CE6" w:rsidRPr="0081687C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да</w:t>
      </w:r>
      <w:r w:rsidR="005E6D8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ры каражатынын курамында 1,9 ммоль (43 мг)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натрий б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ар. Муну көзөмөлдөнүүчү натрий мүнѳздүү тамактануусунда жайгашкан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оорулуулар эске 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алуусу зарыл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420422A0" w14:textId="3C0C5468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Кан тамырдын ичине жана булчуңдун ичине </w:t>
      </w:r>
      <w:r w:rsidR="005A43AC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куюда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ампуланы дары каражатын колдонуунун</w:t>
      </w:r>
      <w:r w:rsidR="00E175A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алдында гана ачуу керек. Сыртынан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колдонууда ампуланын ичиндегисин жарым-жартылай колдонууга болот: калган эритмени 24 сааттын ичинде </w:t>
      </w:r>
      <w:r w:rsidR="00B93333" w:rsidRPr="0081687C">
        <w:rPr>
          <w:rFonts w:ascii="Times New Roman" w:hAnsi="Times New Roman" w:cs="Times New Roman"/>
          <w:sz w:val="24"/>
          <w:szCs w:val="24"/>
          <w:lang w:val="ky-KG"/>
        </w:rPr>
        <w:t>сыртынан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колдонуу үчүн пайдаланууга болот (талаптагыдай шартта сактал</w:t>
      </w:r>
      <w:r w:rsidR="00D31CE6" w:rsidRPr="0081687C">
        <w:rPr>
          <w:rFonts w:ascii="Times New Roman" w:hAnsi="Times New Roman" w:cs="Times New Roman"/>
          <w:sz w:val="24"/>
          <w:szCs w:val="24"/>
          <w:lang w:val="ky-KG"/>
        </w:rPr>
        <w:t>ган учурда); калган эритмени инъ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екция үчүн колдонууга тыюу салынат.</w:t>
      </w:r>
    </w:p>
    <w:p w14:paraId="1BD477B7" w14:textId="47EB821D" w:rsidR="005A43AC" w:rsidRPr="0081687C" w:rsidRDefault="005A43AC" w:rsidP="00816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14:paraId="317654CC" w14:textId="28BAA83A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t>Кош бойлуу жана бала эмизген мезгилде колдонуу</w:t>
      </w:r>
    </w:p>
    <w:p w14:paraId="239FE529" w14:textId="400EE04A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Кош бойлуу жана бала эмизген мезгилде эне үчүн болжолдонгон пайда түйүлдүк жана бала үчүн потенциалдуу </w:t>
      </w:r>
      <w:r w:rsidR="005A43AC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кооптуулуктан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жогору болгон учурда гана, дарыгердин түздөн-түз көзөмөлү алдында ацетилцистеинди колдонууга болот.</w:t>
      </w:r>
    </w:p>
    <w:p w14:paraId="203FC96A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i/>
          <w:sz w:val="24"/>
          <w:szCs w:val="24"/>
          <w:lang w:val="ky-KG"/>
        </w:rPr>
        <w:lastRenderedPageBreak/>
        <w:t>Автоунаа жана башка механизмдерди башкарууда реакциянын ылдамдыгына таасир берүү жөндөмдүүлүгү</w:t>
      </w:r>
    </w:p>
    <w:p w14:paraId="4A1EA626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Реакциянын ылдамдыгына тийгизген таасирин тастыктаган маалыматтар жок.</w:t>
      </w:r>
    </w:p>
    <w:p w14:paraId="14D8D3F4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E8B245D" w14:textId="538E4DC2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Ашыкча дозалоо</w:t>
      </w:r>
    </w:p>
    <w:p w14:paraId="4AFEE4AB" w14:textId="684B8DDD" w:rsidR="00E87D08" w:rsidRPr="0081687C" w:rsidRDefault="001C78AB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u w:val="single"/>
          <w:lang w:val="ky-KG"/>
        </w:rPr>
        <w:t xml:space="preserve">Кан тамырдын ичине </w:t>
      </w:r>
      <w:r w:rsidR="00D32ADF" w:rsidRPr="0081687C">
        <w:rPr>
          <w:rFonts w:ascii="Times New Roman" w:hAnsi="Times New Roman" w:cs="Times New Roman"/>
          <w:i/>
          <w:sz w:val="24"/>
          <w:szCs w:val="24"/>
          <w:u w:val="single"/>
          <w:lang w:val="ky-KG"/>
        </w:rPr>
        <w:t>куюда</w:t>
      </w:r>
    </w:p>
    <w:p w14:paraId="2F9748A4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Симптомдору</w:t>
      </w:r>
    </w:p>
    <w:p w14:paraId="59CA9138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Ашыкча дозалоонун симптомдору оор даражадагы кыйыр таасирлердин симптомдоруна окшош.</w:t>
      </w:r>
    </w:p>
    <w:p w14:paraId="4B3202C9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Дарылоо</w:t>
      </w:r>
    </w:p>
    <w:p w14:paraId="58A1B302" w14:textId="0D544D75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Дарылоо </w:t>
      </w:r>
      <w:r w:rsidR="00D32ADF" w:rsidRPr="0081687C">
        <w:rPr>
          <w:rFonts w:ascii="Times New Roman" w:hAnsi="Times New Roman" w:cs="Times New Roman"/>
          <w:sz w:val="24"/>
          <w:szCs w:val="24"/>
          <w:lang w:val="ky-KG"/>
        </w:rPr>
        <w:t>препаратты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колдонууну дароо токтотууну жана симптомдору боюнча дарылоо жүргүзүүнү талап кылат. Атайын антидоту жок. Диализ жүргүзүү натыйжалуу болот.</w:t>
      </w:r>
    </w:p>
    <w:p w14:paraId="4E5D3356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u w:val="single"/>
          <w:lang w:val="ky-KG"/>
        </w:rPr>
        <w:t>Жергиликтүү колдонууда</w:t>
      </w:r>
    </w:p>
    <w:p w14:paraId="68873B63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Симптомдору</w:t>
      </w:r>
    </w:p>
    <w:p w14:paraId="26FE3A4E" w14:textId="15BF4DCD" w:rsidR="00E87D08" w:rsidRPr="0081687C" w:rsidRDefault="00D32ADF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Ашыкча доза учурлары катталган эмес. </w:t>
      </w:r>
      <w:r w:rsidR="005A43AC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Препараттын </w:t>
      </w:r>
      <w:r w:rsidR="00693DC4" w:rsidRPr="0081687C">
        <w:rPr>
          <w:rFonts w:ascii="Times New Roman" w:hAnsi="Times New Roman" w:cs="Times New Roman"/>
          <w:sz w:val="24"/>
          <w:szCs w:val="24"/>
          <w:lang w:val="ky-KG"/>
        </w:rPr>
        <w:t>жогорку дозалары бронх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-өпкө суюктуктарын көп көлөмдө бөлүп чы</w:t>
      </w:r>
      <w:r w:rsidR="00CE505E" w:rsidRPr="0081687C">
        <w:rPr>
          <w:rFonts w:ascii="Times New Roman" w:hAnsi="Times New Roman" w:cs="Times New Roman"/>
          <w:sz w:val="24"/>
          <w:szCs w:val="24"/>
          <w:lang w:val="ky-KG"/>
        </w:rPr>
        <w:t>гарат, бул дем алуу жолдорунун о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бструкциясына алып келет.</w:t>
      </w:r>
    </w:p>
    <w:p w14:paraId="020F870D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i/>
          <w:sz w:val="24"/>
          <w:szCs w:val="24"/>
          <w:lang w:val="ky-KG"/>
        </w:rPr>
        <w:t>Дарылоо</w:t>
      </w:r>
    </w:p>
    <w:p w14:paraId="28BCA07E" w14:textId="4E7061C2" w:rsidR="00E87D08" w:rsidRPr="0081687C" w:rsidRDefault="00D32ADF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Бронхоаспирация жүргүзүү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2ED84156" w14:textId="1496CCAC" w:rsidR="00AD0866" w:rsidRPr="0081687C" w:rsidRDefault="00AD0866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94F4075" w14:textId="77777777" w:rsidR="00D232C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Жарактуулук мөөнөтү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30689588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2 жыл.</w:t>
      </w:r>
    </w:p>
    <w:p w14:paraId="373D51C2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67640AA" w14:textId="77777777" w:rsidR="00E87D08" w:rsidRPr="0081687C" w:rsidRDefault="00D232C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Сактоо шарттары</w:t>
      </w:r>
    </w:p>
    <w:p w14:paraId="419B94A5" w14:textId="50F0FFBF" w:rsidR="00E87D08" w:rsidRPr="0081687C" w:rsidRDefault="00E87D08" w:rsidP="0081687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30 </w:t>
      </w:r>
      <w:r w:rsidRPr="0081687C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>о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8A283B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дан ашпаган аба табында өзүнүн таңгагында сактоо керек.</w:t>
      </w:r>
      <w:r w:rsidR="00D32ADF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Ачылган ампуланы жергиликтүү колдонууга гана муздаткычта 24 саат бою сактоого мүмкүн болот. </w:t>
      </w:r>
    </w:p>
    <w:p w14:paraId="08A26472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Балдар жетпеген жерде сактоо керек.</w:t>
      </w:r>
    </w:p>
    <w:p w14:paraId="58F42F79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ACE086E" w14:textId="31ED4807" w:rsidR="00E87D08" w:rsidRPr="0081687C" w:rsidRDefault="00D32ADF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Дал келбестик</w:t>
      </w:r>
    </w:p>
    <w:p w14:paraId="3D2624C6" w14:textId="77777777" w:rsidR="00D232C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Ингамист эритмесин резина жана металл беттерге тийгизбеш керек.</w:t>
      </w:r>
      <w:r w:rsidR="00D232C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7B5D9E56" w14:textId="67187FEC" w:rsidR="00D232C8" w:rsidRPr="0081687C" w:rsidRDefault="00AD0866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Ингаляцияны жүргүзүү үчүн а</w:t>
      </w:r>
      <w:r w:rsidR="00D232C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йнек жана </w:t>
      </w:r>
      <w:r w:rsidR="005A43AC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желим </w:t>
      </w:r>
      <w:r w:rsidR="00D232C8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жабдууларын </w:t>
      </w:r>
      <w:r w:rsidR="00D32ADF" w:rsidRPr="0081687C">
        <w:rPr>
          <w:rFonts w:ascii="Times New Roman" w:hAnsi="Times New Roman" w:cs="Times New Roman"/>
          <w:sz w:val="24"/>
          <w:szCs w:val="24"/>
          <w:lang w:val="ky-KG"/>
        </w:rPr>
        <w:t>колдонуу сунушталат, жабдуун</w:t>
      </w:r>
      <w:r w:rsidR="00D232C8" w:rsidRPr="0081687C">
        <w:rPr>
          <w:rFonts w:ascii="Times New Roman" w:hAnsi="Times New Roman" w:cs="Times New Roman"/>
          <w:sz w:val="24"/>
          <w:szCs w:val="24"/>
          <w:lang w:val="ky-KG"/>
        </w:rPr>
        <w:t>у колдонгондон кийин суу менен жууп салуу керек.</w:t>
      </w:r>
    </w:p>
    <w:p w14:paraId="51904459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69AF4F5" w14:textId="360269E4" w:rsidR="00E87D08" w:rsidRPr="0081687C" w:rsidRDefault="00AD0866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Таңгакчасы</w:t>
      </w:r>
    </w:p>
    <w:p w14:paraId="21B420B0" w14:textId="00C41399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Күңүрт айнектен жасалган</w:t>
      </w:r>
      <w:r w:rsidR="00472474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ампу</w:t>
      </w:r>
      <w:r w:rsidR="008A283B" w:rsidRPr="0081687C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472474" w:rsidRPr="0081687C">
        <w:rPr>
          <w:rFonts w:ascii="Times New Roman" w:hAnsi="Times New Roman" w:cs="Times New Roman"/>
          <w:sz w:val="24"/>
          <w:szCs w:val="24"/>
          <w:lang w:val="ky-KG"/>
        </w:rPr>
        <w:t>аларда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3 мл</w:t>
      </w:r>
      <w:r w:rsidR="00AD0866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дан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; контурлуу уячалуу таңгак</w:t>
      </w:r>
      <w:r w:rsidR="008A283B" w:rsidRPr="0081687C">
        <w:rPr>
          <w:rFonts w:ascii="Times New Roman" w:hAnsi="Times New Roman" w:cs="Times New Roman"/>
          <w:sz w:val="24"/>
          <w:szCs w:val="24"/>
          <w:lang w:val="ky-KG"/>
        </w:rPr>
        <w:t>чад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а 5 ампуладан; 2 ко</w:t>
      </w:r>
      <w:r w:rsidR="00FE7523" w:rsidRPr="0081687C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турлуу уячалуу таңгак</w:t>
      </w:r>
      <w:r w:rsidR="008A283B" w:rsidRPr="0081687C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FE7523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кутучага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салынат.</w:t>
      </w:r>
    </w:p>
    <w:p w14:paraId="1656D6EF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C803DE2" w14:textId="77777777" w:rsidR="00E87D08" w:rsidRPr="0081687C" w:rsidRDefault="00BA37A9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Берүү шарты</w:t>
      </w:r>
    </w:p>
    <w:p w14:paraId="7ED2BD45" w14:textId="30EB719F" w:rsidR="00E87D08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Рецепт боюнча.</w:t>
      </w:r>
    </w:p>
    <w:p w14:paraId="5372A77E" w14:textId="77777777" w:rsidR="0074289A" w:rsidRPr="0081687C" w:rsidRDefault="0074289A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75B334B" w14:textId="7D3096AA" w:rsidR="00BA37A9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>Өндүрүүчү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20CB879C" w14:textId="06DA3CCF" w:rsidR="00E87D08" w:rsidRPr="0081687C" w:rsidRDefault="00E7215C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eastAsia="Calibri" w:hAnsi="Times New Roman" w:cs="Times New Roman"/>
          <w:sz w:val="24"/>
          <w:szCs w:val="24"/>
          <w:lang w:val="ky-KG" w:eastAsia="zh-CN" w:bidi="ru-RU"/>
        </w:rPr>
        <w:t>«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Ю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рия-Фарм</w:t>
      </w:r>
      <w:r w:rsidRPr="0081687C">
        <w:rPr>
          <w:rFonts w:ascii="Times New Roman" w:eastAsia="Calibri" w:hAnsi="Times New Roman" w:cs="Times New Roman"/>
          <w:sz w:val="24"/>
          <w:szCs w:val="24"/>
          <w:lang w:val="ky-KG" w:eastAsia="zh-CN" w:bidi="ru-RU"/>
        </w:rPr>
        <w:t>»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E87D08" w:rsidRPr="0081687C">
        <w:rPr>
          <w:rFonts w:ascii="Times New Roman" w:hAnsi="Times New Roman" w:cs="Times New Roman"/>
          <w:sz w:val="24"/>
          <w:szCs w:val="24"/>
          <w:lang w:val="ky-KG"/>
        </w:rPr>
        <w:t>ЖЧК.</w:t>
      </w:r>
    </w:p>
    <w:p w14:paraId="3B1E2A76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0F4FD2F4" w14:textId="7979369B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Өндүрүүчүнүн жайгашка</w:t>
      </w:r>
      <w:r w:rsidR="00C9230F" w:rsidRPr="0081687C">
        <w:rPr>
          <w:rFonts w:ascii="Times New Roman" w:hAnsi="Times New Roman" w:cs="Times New Roman"/>
          <w:b/>
          <w:sz w:val="24"/>
          <w:szCs w:val="24"/>
          <w:lang w:val="ky-KG"/>
        </w:rPr>
        <w:t>н</w:t>
      </w:r>
      <w:r w:rsidRPr="00816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орду </w:t>
      </w:r>
      <w:r w:rsidR="001A7FA8" w:rsidRPr="0081687C">
        <w:rPr>
          <w:rFonts w:ascii="Times New Roman" w:hAnsi="Times New Roman" w:cs="Times New Roman"/>
          <w:b/>
          <w:sz w:val="24"/>
          <w:szCs w:val="24"/>
          <w:lang w:val="ky-KG"/>
        </w:rPr>
        <w:t>жана иш жүргүзгөн жердин дареги</w:t>
      </w:r>
    </w:p>
    <w:p w14:paraId="045C8534" w14:textId="77777777" w:rsidR="00BA37A9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Украина, 18030, </w:t>
      </w:r>
      <w:r w:rsidR="00C9230F" w:rsidRPr="0081687C">
        <w:rPr>
          <w:rFonts w:ascii="Times New Roman" w:hAnsi="Times New Roman" w:cs="Times New Roman"/>
          <w:sz w:val="24"/>
          <w:szCs w:val="24"/>
          <w:lang w:val="ky-KG"/>
        </w:rPr>
        <w:t>Черкассы обл.,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Черкассы ш</w:t>
      </w:r>
      <w:r w:rsidR="00C9230F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472474" w:rsidRPr="0081687C">
        <w:rPr>
          <w:rFonts w:ascii="Times New Roman" w:hAnsi="Times New Roman" w:cs="Times New Roman"/>
          <w:sz w:val="24"/>
          <w:szCs w:val="24"/>
          <w:lang w:val="ky-KG"/>
        </w:rPr>
        <w:t>Кобзарь</w:t>
      </w:r>
      <w:r w:rsidR="00BA37A9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көч</w:t>
      </w:r>
      <w:r w:rsidR="00472474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>, 108.</w:t>
      </w:r>
    </w:p>
    <w:p w14:paraId="6C6ED5F5" w14:textId="7385CCB8" w:rsidR="00E87D08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687C">
        <w:rPr>
          <w:rFonts w:ascii="Times New Roman" w:hAnsi="Times New Roman" w:cs="Times New Roman"/>
          <w:sz w:val="24"/>
          <w:szCs w:val="24"/>
          <w:lang w:val="ky-KG"/>
        </w:rPr>
        <w:t>Тел.:</w:t>
      </w:r>
      <w:r w:rsidR="00BA37A9"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+38</w:t>
      </w:r>
      <w:r w:rsidRPr="0081687C">
        <w:rPr>
          <w:rFonts w:ascii="Times New Roman" w:hAnsi="Times New Roman" w:cs="Times New Roman"/>
          <w:sz w:val="24"/>
          <w:szCs w:val="24"/>
          <w:lang w:val="ky-KG"/>
        </w:rPr>
        <w:t xml:space="preserve"> (044) 281-01-01</w:t>
      </w:r>
      <w:r w:rsidR="00FE7523" w:rsidRPr="0081687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79A5AA4F" w14:textId="638383D8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765EC15" w14:textId="2C1EA9B6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F617AEB" w14:textId="49B54E01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B7E64E3" w14:textId="4AF14137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45FB246" w14:textId="0646F25D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ACC7F79" w14:textId="42432CCF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61AD1C0" w14:textId="6DED7057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FB9F48" w14:textId="781A79B9" w:rsidR="00E10B85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ABCB5FB" w14:textId="77777777" w:rsidR="00E10B85" w:rsidRPr="0081687C" w:rsidRDefault="00E10B85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3130F70" w14:textId="77777777" w:rsidR="00E87D08" w:rsidRPr="0081687C" w:rsidRDefault="00E87D08" w:rsidP="008168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D442A35" w14:textId="77777777" w:rsidR="009601D2" w:rsidRPr="0081687C" w:rsidRDefault="009601D2" w:rsidP="0081687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601D2" w:rsidRPr="0081687C" w:rsidSect="0081687C">
      <w:footerReference w:type="default" r:id="rId12"/>
      <w:pgSz w:w="11906" w:h="16838"/>
      <w:pgMar w:top="1418" w:right="991" w:bottom="156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F8F8" w14:textId="77777777" w:rsidR="00392531" w:rsidRDefault="00392531" w:rsidP="00B43FC2">
      <w:pPr>
        <w:spacing w:after="0" w:line="240" w:lineRule="auto"/>
      </w:pPr>
      <w:r>
        <w:separator/>
      </w:r>
    </w:p>
  </w:endnote>
  <w:endnote w:type="continuationSeparator" w:id="0">
    <w:p w14:paraId="0BFC5AAF" w14:textId="77777777" w:rsidR="00392531" w:rsidRDefault="00392531" w:rsidP="00B4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0D8EA" w14:textId="6C7F3C78" w:rsidR="00B43FC2" w:rsidRDefault="00B43FC2" w:rsidP="00FE7523">
    <w:pPr>
      <w:pStyle w:val="a5"/>
      <w:jc w:val="center"/>
    </w:pPr>
  </w:p>
  <w:p w14:paraId="647E6039" w14:textId="77777777" w:rsidR="00B43FC2" w:rsidRDefault="00B43F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5294A" w14:textId="77777777" w:rsidR="00392531" w:rsidRDefault="00392531" w:rsidP="00B43FC2">
      <w:pPr>
        <w:spacing w:after="0" w:line="240" w:lineRule="auto"/>
      </w:pPr>
      <w:r>
        <w:separator/>
      </w:r>
    </w:p>
  </w:footnote>
  <w:footnote w:type="continuationSeparator" w:id="0">
    <w:p w14:paraId="4FDFA223" w14:textId="77777777" w:rsidR="00392531" w:rsidRDefault="00392531" w:rsidP="00B43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41"/>
    <w:rsid w:val="00015788"/>
    <w:rsid w:val="000171FB"/>
    <w:rsid w:val="00044010"/>
    <w:rsid w:val="00065032"/>
    <w:rsid w:val="000B1EDF"/>
    <w:rsid w:val="000B2B55"/>
    <w:rsid w:val="000B473B"/>
    <w:rsid w:val="000B577F"/>
    <w:rsid w:val="000C1EF3"/>
    <w:rsid w:val="000D6674"/>
    <w:rsid w:val="00124C3A"/>
    <w:rsid w:val="00151CEF"/>
    <w:rsid w:val="00172646"/>
    <w:rsid w:val="001801D3"/>
    <w:rsid w:val="00196878"/>
    <w:rsid w:val="001A7FA8"/>
    <w:rsid w:val="001C78AB"/>
    <w:rsid w:val="001E472A"/>
    <w:rsid w:val="001F1903"/>
    <w:rsid w:val="0027772C"/>
    <w:rsid w:val="00280113"/>
    <w:rsid w:val="002A40C9"/>
    <w:rsid w:val="00300A0A"/>
    <w:rsid w:val="003177E3"/>
    <w:rsid w:val="00390599"/>
    <w:rsid w:val="00392531"/>
    <w:rsid w:val="003B21D4"/>
    <w:rsid w:val="004225DA"/>
    <w:rsid w:val="00427563"/>
    <w:rsid w:val="004641B4"/>
    <w:rsid w:val="00472474"/>
    <w:rsid w:val="00487B42"/>
    <w:rsid w:val="004A43B8"/>
    <w:rsid w:val="004C0241"/>
    <w:rsid w:val="004F5FB5"/>
    <w:rsid w:val="0052340F"/>
    <w:rsid w:val="005556BC"/>
    <w:rsid w:val="005A43AC"/>
    <w:rsid w:val="005A59FC"/>
    <w:rsid w:val="005D6D1A"/>
    <w:rsid w:val="005E6D84"/>
    <w:rsid w:val="00650521"/>
    <w:rsid w:val="00664A46"/>
    <w:rsid w:val="00693DC4"/>
    <w:rsid w:val="00695995"/>
    <w:rsid w:val="00697C3A"/>
    <w:rsid w:val="0074289A"/>
    <w:rsid w:val="007666A3"/>
    <w:rsid w:val="007F19DA"/>
    <w:rsid w:val="0081687C"/>
    <w:rsid w:val="00816DBF"/>
    <w:rsid w:val="00827119"/>
    <w:rsid w:val="00870F19"/>
    <w:rsid w:val="008A283B"/>
    <w:rsid w:val="008B3C78"/>
    <w:rsid w:val="008C336E"/>
    <w:rsid w:val="008F45E2"/>
    <w:rsid w:val="008F482F"/>
    <w:rsid w:val="00902294"/>
    <w:rsid w:val="0090313D"/>
    <w:rsid w:val="009601D2"/>
    <w:rsid w:val="009620CA"/>
    <w:rsid w:val="009622B4"/>
    <w:rsid w:val="00991674"/>
    <w:rsid w:val="009A21B0"/>
    <w:rsid w:val="009B6193"/>
    <w:rsid w:val="009C067D"/>
    <w:rsid w:val="009F0F56"/>
    <w:rsid w:val="009F1F26"/>
    <w:rsid w:val="00A0493B"/>
    <w:rsid w:val="00A322BA"/>
    <w:rsid w:val="00A651B9"/>
    <w:rsid w:val="00A94546"/>
    <w:rsid w:val="00AB349C"/>
    <w:rsid w:val="00AD0866"/>
    <w:rsid w:val="00B43FC2"/>
    <w:rsid w:val="00B93333"/>
    <w:rsid w:val="00BA37A9"/>
    <w:rsid w:val="00BD19BA"/>
    <w:rsid w:val="00BD3ACC"/>
    <w:rsid w:val="00BE385A"/>
    <w:rsid w:val="00C9230F"/>
    <w:rsid w:val="00CE505E"/>
    <w:rsid w:val="00D0050B"/>
    <w:rsid w:val="00D232C8"/>
    <w:rsid w:val="00D27482"/>
    <w:rsid w:val="00D31CE6"/>
    <w:rsid w:val="00D32ADF"/>
    <w:rsid w:val="00D36ADD"/>
    <w:rsid w:val="00D416E3"/>
    <w:rsid w:val="00DA3218"/>
    <w:rsid w:val="00DF0F12"/>
    <w:rsid w:val="00DF5EF4"/>
    <w:rsid w:val="00DF6DBE"/>
    <w:rsid w:val="00E10B85"/>
    <w:rsid w:val="00E175A8"/>
    <w:rsid w:val="00E64720"/>
    <w:rsid w:val="00E7215C"/>
    <w:rsid w:val="00E73412"/>
    <w:rsid w:val="00E82CCD"/>
    <w:rsid w:val="00E87D08"/>
    <w:rsid w:val="00EF3C1B"/>
    <w:rsid w:val="00F2776C"/>
    <w:rsid w:val="00F32352"/>
    <w:rsid w:val="00F337E2"/>
    <w:rsid w:val="00F44990"/>
    <w:rsid w:val="00F955B1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DF05"/>
  <w15:docId w15:val="{DF52E269-9CC9-4403-8DDF-7D42056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FC2"/>
  </w:style>
  <w:style w:type="paragraph" w:styleId="a5">
    <w:name w:val="footer"/>
    <w:basedOn w:val="a"/>
    <w:link w:val="a6"/>
    <w:uiPriority w:val="99"/>
    <w:unhideWhenUsed/>
    <w:rsid w:val="00B4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FC2"/>
  </w:style>
  <w:style w:type="table" w:styleId="a7">
    <w:name w:val="Table Grid"/>
    <w:basedOn w:val="a1"/>
    <w:uiPriority w:val="39"/>
    <w:rsid w:val="001C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9D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777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a.kppv@uf.u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harm.k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150D12BFA1CA41952EC166BA4AE7F1" ma:contentTypeVersion="16" ma:contentTypeDescription="Создание документа." ma:contentTypeScope="" ma:versionID="bbdf036e7834844f8c6f815136f6220d">
  <xsd:schema xmlns:xsd="http://www.w3.org/2001/XMLSchema" xmlns:xs="http://www.w3.org/2001/XMLSchema" xmlns:p="http://schemas.microsoft.com/office/2006/metadata/properties" xmlns:ns2="242124d5-8bc9-4a62-8e49-84e504145a22" xmlns:ns3="6c429180-fa48-471e-b808-158ece211a10" targetNamespace="http://schemas.microsoft.com/office/2006/metadata/properties" ma:root="true" ma:fieldsID="32360434de1b949ee5fddf383ebf2e79" ns2:_="" ns3:_="">
    <xsd:import namespace="242124d5-8bc9-4a62-8e49-84e504145a22"/>
    <xsd:import namespace="6c429180-fa48-471e-b808-158ece21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124d5-8bc9-4a62-8e49-84e504145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e01c442-fd80-4bbc-b116-a2dcea1e6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29180-fa48-471e-b808-158ece211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7829e-cfa2-4d48-bd54-c604fcf06a3e}" ma:internalName="TaxCatchAll" ma:showField="CatchAllData" ma:web="6c429180-fa48-471e-b808-158ece21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29180-fa48-471e-b808-158ece211a10" xsi:nil="true"/>
    <lcf76f155ced4ddcb4097134ff3c332f xmlns="242124d5-8bc9-4a62-8e49-84e504145a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0184-2480-4BED-AE2C-46B8775DCAF4}"/>
</file>

<file path=customXml/itemProps2.xml><?xml version="1.0" encoding="utf-8"?>
<ds:datastoreItem xmlns:ds="http://schemas.openxmlformats.org/officeDocument/2006/customXml" ds:itemID="{20E56712-0A3E-417B-8885-79394BCBD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F876C-ACFB-439C-90DC-7C67DB0F3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0FFC05-4F36-4D6B-A5DD-FAE36A3F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Алира</dc:creator>
  <cp:lastModifiedBy>shakir shakir</cp:lastModifiedBy>
  <cp:revision>22</cp:revision>
  <cp:lastPrinted>2023-01-18T09:27:00Z</cp:lastPrinted>
  <dcterms:created xsi:type="dcterms:W3CDTF">2023-01-11T09:56:00Z</dcterms:created>
  <dcterms:modified xsi:type="dcterms:W3CDTF">2023-01-24T08:07:00Z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0x01010074150D12BFA1CA41952EC166BA4AE7F1</vt:lpwstr>
  </property>
  <property fmtid="{D5CDD505-2E9C-101B-9397-08002B2CF9AE}" pid="3" name="MediaServiceImageTags">
    <vt:lpwstr/>
  </property>
</Properties>
</file>